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D1" w:rsidRDefault="00893146" w:rsidP="00893146">
      <w:pPr>
        <w:ind w:left="3912" w:firstLine="3"/>
      </w:pPr>
      <w:r w:rsidRPr="00725ABD">
        <w:t>Kollegiet för svensk bolagsstyrning</w:t>
      </w:r>
      <w:r w:rsidRPr="00725ABD">
        <w:br/>
        <w:t xml:space="preserve">Väpnargatan 8, 6 </w:t>
      </w:r>
      <w:proofErr w:type="spellStart"/>
      <w:r w:rsidRPr="00725ABD">
        <w:t>tr</w:t>
      </w:r>
      <w:proofErr w:type="spellEnd"/>
      <w:r>
        <w:t>,</w:t>
      </w:r>
    </w:p>
    <w:p w:rsidR="00893146" w:rsidRPr="00725ABD" w:rsidRDefault="00A97ED1" w:rsidP="00893146">
      <w:pPr>
        <w:ind w:left="3912" w:firstLine="3"/>
      </w:pPr>
      <w:r>
        <w:t xml:space="preserve"> 114 51 </w:t>
      </w:r>
      <w:r w:rsidR="00893146" w:rsidRPr="00725ABD">
        <w:t xml:space="preserve"> Stockholm</w:t>
      </w:r>
    </w:p>
    <w:p w:rsidR="00893146" w:rsidRDefault="00893146" w:rsidP="00893146">
      <w:r w:rsidRPr="00725ABD">
        <w:tab/>
      </w:r>
      <w:r w:rsidRPr="00725ABD">
        <w:tab/>
      </w:r>
      <w:r w:rsidRPr="00725ABD">
        <w:tab/>
      </w:r>
      <w:hyperlink r:id="rId5" w:history="1">
        <w:r w:rsidRPr="00725ABD">
          <w:rPr>
            <w:rStyle w:val="Hyperlnk"/>
          </w:rPr>
          <w:t>bjorn.kristiansson@bolagsstyrningskollegiet.se</w:t>
        </w:r>
      </w:hyperlink>
    </w:p>
    <w:p w:rsidR="00893146" w:rsidRDefault="00893146" w:rsidP="00893146"/>
    <w:p w:rsidR="00893146" w:rsidRDefault="00893146" w:rsidP="00893146"/>
    <w:p w:rsidR="00893146" w:rsidRDefault="00893146" w:rsidP="00893146">
      <w:pPr>
        <w:rPr>
          <w:b/>
          <w:sz w:val="28"/>
          <w:szCs w:val="28"/>
        </w:rPr>
      </w:pPr>
      <w:r w:rsidRPr="00C06A31">
        <w:rPr>
          <w:b/>
          <w:sz w:val="28"/>
          <w:szCs w:val="28"/>
        </w:rPr>
        <w:t>Öppen remiss av förslag till reviderad kod 2015</w:t>
      </w:r>
    </w:p>
    <w:p w:rsidR="00893146" w:rsidRPr="00725ABD" w:rsidRDefault="00893146" w:rsidP="00893146">
      <w:r>
        <w:t>2015-08-31</w:t>
      </w:r>
    </w:p>
    <w:p w:rsidR="00893146" w:rsidRPr="00725ABD" w:rsidRDefault="00893146" w:rsidP="00893146">
      <w:pPr>
        <w:rPr>
          <w:b/>
        </w:rPr>
      </w:pPr>
    </w:p>
    <w:p w:rsidR="00893146" w:rsidRPr="00725ABD" w:rsidRDefault="00893146" w:rsidP="00893146">
      <w:r w:rsidRPr="00725ABD">
        <w:t>Institutionella Ägares Förening för regleringsfrågor på aktiemarknaden (IÄF) lämnar följande kommentarer till förslaget:</w:t>
      </w:r>
    </w:p>
    <w:p w:rsidR="00893146" w:rsidRPr="00725ABD" w:rsidRDefault="00893146" w:rsidP="00893146"/>
    <w:p w:rsidR="00893146" w:rsidRPr="00725ABD" w:rsidRDefault="00893146" w:rsidP="00893146">
      <w:pPr>
        <w:rPr>
          <w:b/>
        </w:rPr>
      </w:pPr>
      <w:r w:rsidRPr="00725ABD">
        <w:rPr>
          <w:b/>
        </w:rPr>
        <w:t xml:space="preserve">II Den svenska modellen för bolagsstyrning, 2 Bolagsstämma </w:t>
      </w:r>
    </w:p>
    <w:p w:rsidR="00893146" w:rsidRPr="00725ABD" w:rsidRDefault="00893146" w:rsidP="00893146">
      <w:pPr>
        <w:rPr>
          <w:b/>
          <w:i/>
        </w:rPr>
      </w:pPr>
      <w:r w:rsidRPr="00725ABD">
        <w:rPr>
          <w:b/>
          <w:i/>
        </w:rPr>
        <w:t>Kommentar till ny fot</w:t>
      </w:r>
      <w:r>
        <w:rPr>
          <w:b/>
          <w:i/>
        </w:rPr>
        <w:t>not 2, val av styrelseledamöter</w:t>
      </w:r>
      <w:r w:rsidRPr="00725ABD">
        <w:rPr>
          <w:b/>
          <w:i/>
        </w:rPr>
        <w:t>.</w:t>
      </w:r>
    </w:p>
    <w:p w:rsidR="00893146" w:rsidRPr="00725ABD" w:rsidRDefault="00893146" w:rsidP="00893146">
      <w:r w:rsidRPr="00725ABD">
        <w:t xml:space="preserve">För att underlätta för utländska ägare som </w:t>
      </w:r>
      <w:proofErr w:type="spellStart"/>
      <w:r w:rsidRPr="00725ABD">
        <w:t>fullmaktsröstar</w:t>
      </w:r>
      <w:proofErr w:type="spellEnd"/>
      <w:r w:rsidRPr="00725ABD">
        <w:t xml:space="preserve"> </w:t>
      </w:r>
      <w:r>
        <w:t>föreslår</w:t>
      </w:r>
      <w:r w:rsidRPr="00725ABD">
        <w:t xml:space="preserve"> IÄF en </w:t>
      </w:r>
      <w:r>
        <w:t>tilläggs</w:t>
      </w:r>
      <w:r w:rsidRPr="00725ABD">
        <w:t>skrivning</w:t>
      </w:r>
      <w:r>
        <w:t>,</w:t>
      </w:r>
      <w:r w:rsidRPr="00725ABD">
        <w:t xml:space="preserve"> </w:t>
      </w:r>
      <w:r>
        <w:t>t.ex. i avsnitt III. 1 Bolagsstämma, att</w:t>
      </w:r>
      <w:r w:rsidRPr="00725ABD">
        <w:t xml:space="preserve"> </w:t>
      </w:r>
      <w:r>
        <w:t xml:space="preserve">kallelse och instruktioner för </w:t>
      </w:r>
      <w:r w:rsidRPr="00725ABD">
        <w:t>fullmakts</w:t>
      </w:r>
      <w:r>
        <w:t>röstning (så kallad ”</w:t>
      </w:r>
      <w:proofErr w:type="spellStart"/>
      <w:r w:rsidRPr="00725ABD">
        <w:t>proxy</w:t>
      </w:r>
      <w:r>
        <w:t>voting</w:t>
      </w:r>
      <w:proofErr w:type="spellEnd"/>
      <w:r>
        <w:t xml:space="preserve">”) </w:t>
      </w:r>
      <w:r w:rsidRPr="00725ABD">
        <w:t>utformas så att det tydligt framgår att beslut vid styrelseval och ansvarsfrihet sker individuellt för var och en.</w:t>
      </w:r>
    </w:p>
    <w:p w:rsidR="00893146" w:rsidRPr="00725ABD" w:rsidRDefault="00893146" w:rsidP="00893146"/>
    <w:p w:rsidR="00893146" w:rsidRPr="00725ABD" w:rsidRDefault="00893146" w:rsidP="00893146">
      <w:pPr>
        <w:rPr>
          <w:b/>
          <w:i/>
        </w:rPr>
      </w:pPr>
      <w:r w:rsidRPr="00725ABD">
        <w:rPr>
          <w:b/>
        </w:rPr>
        <w:t>III Regler för bolagsstyrning, 2 Val och arvodering av styrelse och revisor</w:t>
      </w:r>
      <w:r w:rsidRPr="00725ABD">
        <w:rPr>
          <w:b/>
        </w:rPr>
        <w:br/>
      </w:r>
      <w:r w:rsidRPr="00725ABD">
        <w:rPr>
          <w:b/>
          <w:i/>
        </w:rPr>
        <w:t>Ko</w:t>
      </w:r>
      <w:r>
        <w:rPr>
          <w:b/>
          <w:i/>
        </w:rPr>
        <w:t>mmentar till 2.1, sista stycket</w:t>
      </w:r>
      <w:r w:rsidRPr="00725ABD">
        <w:rPr>
          <w:b/>
          <w:i/>
        </w:rPr>
        <w:t>.</w:t>
      </w:r>
      <w:r w:rsidRPr="00725ABD">
        <w:rPr>
          <w:b/>
          <w:i/>
        </w:rPr>
        <w:br/>
      </w:r>
      <w:r w:rsidRPr="00725ABD">
        <w:t>IÄF anser att det mot bakgrund av de</w:t>
      </w:r>
      <w:r>
        <w:t>n</w:t>
      </w:r>
      <w:r w:rsidRPr="00725ABD">
        <w:t xml:space="preserve"> pågående implementering</w:t>
      </w:r>
      <w:r>
        <w:t>en</w:t>
      </w:r>
      <w:r w:rsidRPr="00725ABD">
        <w:t xml:space="preserve"> av direk</w:t>
      </w:r>
      <w:r>
        <w:t>tivet om revisorer och revision</w:t>
      </w:r>
      <w:r w:rsidRPr="00725ABD">
        <w:t xml:space="preserve"> vore önskvärt att i koden</w:t>
      </w:r>
      <w:r>
        <w:t>,</w:t>
      </w:r>
      <w:r w:rsidRPr="00725ABD">
        <w:t xml:space="preserve"> </w:t>
      </w:r>
      <w:r>
        <w:t xml:space="preserve">t.ex. i avsnitt III. 7 Styrelsens arbetsformer, </w:t>
      </w:r>
      <w:r w:rsidRPr="00725ABD">
        <w:t>förtydliga att styrelsens revisionsutskott ska biträda valberedningen vid förslag till val av revisor.</w:t>
      </w:r>
    </w:p>
    <w:p w:rsidR="00893146" w:rsidRPr="00725ABD" w:rsidRDefault="00893146" w:rsidP="00893146"/>
    <w:p w:rsidR="00893146" w:rsidRPr="00725ABD" w:rsidRDefault="00893146" w:rsidP="00893146">
      <w:r w:rsidRPr="00725ABD">
        <w:rPr>
          <w:b/>
        </w:rPr>
        <w:t>III Regler för bolagsstyrning, 2 Val och arvodering av styrelse och revisor</w:t>
      </w:r>
      <w:r w:rsidRPr="00725ABD">
        <w:rPr>
          <w:b/>
        </w:rPr>
        <w:br/>
      </w:r>
      <w:r w:rsidRPr="00725ABD">
        <w:rPr>
          <w:b/>
          <w:i/>
        </w:rPr>
        <w:t>Kommentar till 2.4, sista stycket.</w:t>
      </w:r>
      <w:r w:rsidRPr="00725ABD">
        <w:rPr>
          <w:b/>
          <w:i/>
        </w:rPr>
        <w:br/>
      </w:r>
      <w:r w:rsidRPr="00725ABD">
        <w:t>IÄF anser att stycket ska vara kvar då det huvudsakligen fyller det nämnda syftet.</w:t>
      </w:r>
    </w:p>
    <w:p w:rsidR="00893146" w:rsidRPr="00725ABD" w:rsidRDefault="00893146" w:rsidP="00893146"/>
    <w:p w:rsidR="00893146" w:rsidRPr="00725ABD" w:rsidRDefault="00893146" w:rsidP="00893146">
      <w:pPr>
        <w:rPr>
          <w:b/>
          <w:i/>
        </w:rPr>
      </w:pPr>
      <w:r w:rsidRPr="00725ABD">
        <w:rPr>
          <w:b/>
        </w:rPr>
        <w:t>III Regler för bolagsstyrning, 2 Val och arvodering av styrelse och revisor</w:t>
      </w:r>
      <w:r w:rsidRPr="00725ABD">
        <w:rPr>
          <w:b/>
        </w:rPr>
        <w:br/>
      </w:r>
      <w:r w:rsidRPr="00725ABD">
        <w:rPr>
          <w:b/>
          <w:i/>
        </w:rPr>
        <w:t>Komment</w:t>
      </w:r>
      <w:r>
        <w:rPr>
          <w:b/>
          <w:i/>
        </w:rPr>
        <w:t>ar till 4.4, och 4.5</w:t>
      </w:r>
      <w:r w:rsidRPr="00725ABD">
        <w:rPr>
          <w:b/>
          <w:i/>
        </w:rPr>
        <w:t>.</w:t>
      </w:r>
    </w:p>
    <w:p w:rsidR="00893146" w:rsidRPr="00725ABD" w:rsidRDefault="00893146" w:rsidP="00893146">
      <w:r w:rsidRPr="00725ABD">
        <w:t xml:space="preserve">IÄF anser att den nuvarande lydelsen med ”oberoende” istället för det nu föreslagna ”självständighet och integritet” är en bättre och tydligare formulering med mindre utrymme för godtycke. </w:t>
      </w:r>
      <w:r>
        <w:t xml:space="preserve">Vi vill också framhålla vikten och behovet av att, såsom </w:t>
      </w:r>
      <w:r w:rsidRPr="00725ABD">
        <w:t>IÄF tidigare</w:t>
      </w:r>
      <w:r>
        <w:t xml:space="preserve"> framfört</w:t>
      </w:r>
      <w:r w:rsidRPr="00725ABD">
        <w:t xml:space="preserve"> enligt </w:t>
      </w:r>
      <w:r w:rsidRPr="00725ABD">
        <w:rPr>
          <w:u w:val="single"/>
        </w:rPr>
        <w:t>bilaga 1</w:t>
      </w:r>
      <w:r w:rsidRPr="00725ABD">
        <w:t xml:space="preserve">, </w:t>
      </w:r>
      <w:r>
        <w:t>i koden införa</w:t>
      </w:r>
      <w:r w:rsidRPr="00725ABD">
        <w:t xml:space="preserve"> tydliga exempel liknande de sju punkterna i 4.4 på omständigheter som ska vägas in i bedömningen av ledamots oberoende till större ägare.</w:t>
      </w:r>
    </w:p>
    <w:p w:rsidR="00893146" w:rsidRPr="00725ABD" w:rsidRDefault="00893146" w:rsidP="00893146"/>
    <w:p w:rsidR="00893146" w:rsidRPr="00725ABD" w:rsidRDefault="00893146" w:rsidP="00893146">
      <w:r w:rsidRPr="00725ABD">
        <w:t>I övrigt tillstyrker IÄF förslaget.</w:t>
      </w:r>
      <w:r>
        <w:t xml:space="preserve"> </w:t>
      </w:r>
    </w:p>
    <w:p w:rsidR="00893146" w:rsidRPr="00725ABD" w:rsidRDefault="00893146" w:rsidP="00893146"/>
    <w:p w:rsidR="00893146" w:rsidRPr="00725ABD" w:rsidRDefault="00893146" w:rsidP="00893146"/>
    <w:p w:rsidR="00893146" w:rsidRDefault="00893146" w:rsidP="00893146">
      <w:pPr>
        <w:autoSpaceDE w:val="0"/>
        <w:autoSpaceDN w:val="0"/>
      </w:pPr>
    </w:p>
    <w:p w:rsidR="00893146" w:rsidRPr="00725ABD" w:rsidRDefault="00893146" w:rsidP="00893146">
      <w:pPr>
        <w:autoSpaceDE w:val="0"/>
        <w:autoSpaceDN w:val="0"/>
      </w:pPr>
      <w:r w:rsidRPr="00725ABD">
        <w:t>Styrelsen för Institutionella ägares förening</w:t>
      </w:r>
      <w:r>
        <w:t xml:space="preserve"> för regleringsfrågor på aktiemarknaden</w:t>
      </w:r>
      <w:r w:rsidRPr="00725ABD">
        <w:t xml:space="preserve">, IÄF </w:t>
      </w:r>
    </w:p>
    <w:p w:rsidR="00893146" w:rsidRPr="00725ABD" w:rsidRDefault="00893146" w:rsidP="00893146">
      <w:pPr>
        <w:autoSpaceDE w:val="0"/>
        <w:autoSpaceDN w:val="0"/>
      </w:pPr>
      <w:r w:rsidRPr="00725ABD">
        <w:t> </w:t>
      </w:r>
    </w:p>
    <w:p w:rsidR="00893146" w:rsidRPr="00725ABD" w:rsidRDefault="00893146" w:rsidP="00893146">
      <w:pPr>
        <w:autoSpaceDE w:val="0"/>
        <w:autoSpaceDN w:val="0"/>
      </w:pPr>
      <w:r w:rsidRPr="00725ABD">
        <w:t>genom</w:t>
      </w:r>
    </w:p>
    <w:p w:rsidR="00893146" w:rsidRDefault="00893146" w:rsidP="00893146">
      <w:pPr>
        <w:autoSpaceDE w:val="0"/>
        <w:autoSpaceDN w:val="0"/>
      </w:pPr>
      <w:r w:rsidRPr="00725ABD">
        <w:t> </w:t>
      </w:r>
    </w:p>
    <w:p w:rsidR="00893146" w:rsidRPr="00725ABD" w:rsidRDefault="00893146" w:rsidP="00893146">
      <w:pPr>
        <w:autoSpaceDE w:val="0"/>
        <w:autoSpaceDN w:val="0"/>
      </w:pPr>
    </w:p>
    <w:p w:rsidR="00893146" w:rsidRPr="00725ABD" w:rsidRDefault="00893146" w:rsidP="00893146">
      <w:pPr>
        <w:autoSpaceDE w:val="0"/>
        <w:autoSpaceDN w:val="0"/>
      </w:pPr>
    </w:p>
    <w:p w:rsidR="00893146" w:rsidRPr="00725ABD" w:rsidRDefault="00893146" w:rsidP="00893146">
      <w:pPr>
        <w:autoSpaceDE w:val="0"/>
        <w:autoSpaceDN w:val="0"/>
        <w:rPr>
          <w:sz w:val="24"/>
          <w:szCs w:val="24"/>
        </w:rPr>
      </w:pPr>
      <w:r w:rsidRPr="00725ABD">
        <w:rPr>
          <w:sz w:val="24"/>
          <w:szCs w:val="24"/>
        </w:rPr>
        <w:t>Anders Oscarsson</w:t>
      </w:r>
    </w:p>
    <w:p w:rsidR="00893146" w:rsidRDefault="00893146" w:rsidP="00893146">
      <w:pPr>
        <w:rPr>
          <w:sz w:val="24"/>
          <w:szCs w:val="24"/>
        </w:rPr>
      </w:pPr>
    </w:p>
    <w:p w:rsidR="00893146" w:rsidRDefault="00893146" w:rsidP="00893146">
      <w:pPr>
        <w:rPr>
          <w:sz w:val="24"/>
          <w:szCs w:val="24"/>
        </w:rPr>
      </w:pPr>
    </w:p>
    <w:p w:rsidR="00893146" w:rsidRDefault="00893146" w:rsidP="00893146">
      <w:pPr>
        <w:rPr>
          <w:sz w:val="24"/>
          <w:szCs w:val="24"/>
        </w:rPr>
      </w:pPr>
    </w:p>
    <w:p w:rsidR="00893146" w:rsidRDefault="00893146" w:rsidP="008931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93146" w:rsidRDefault="00893146" w:rsidP="00893146">
      <w:r>
        <w:tab/>
      </w:r>
      <w:r>
        <w:tab/>
      </w:r>
      <w:r>
        <w:tab/>
      </w:r>
      <w:r>
        <w:tab/>
      </w:r>
      <w:r>
        <w:tab/>
      </w:r>
      <w:r>
        <w:tab/>
        <w:t>Bilaga 1</w:t>
      </w:r>
    </w:p>
    <w:p w:rsidR="00893146" w:rsidRDefault="00893146" w:rsidP="00893146"/>
    <w:p w:rsidR="00893146" w:rsidRPr="00E066BC" w:rsidRDefault="00893146" w:rsidP="00893146">
      <w:pPr>
        <w:outlineLvl w:val="0"/>
        <w:rPr>
          <w:sz w:val="18"/>
          <w:szCs w:val="18"/>
        </w:rPr>
      </w:pPr>
      <w:r w:rsidRPr="00E066BC">
        <w:rPr>
          <w:rFonts w:ascii="Tahoma" w:hAnsi="Tahoma" w:cs="Tahoma"/>
          <w:b/>
          <w:bCs/>
          <w:sz w:val="18"/>
          <w:szCs w:val="18"/>
          <w:lang w:eastAsia="en-GB"/>
        </w:rPr>
        <w:t>From:</w:t>
      </w:r>
      <w:r w:rsidRPr="00E066BC">
        <w:rPr>
          <w:rFonts w:ascii="Tahoma" w:hAnsi="Tahoma" w:cs="Tahoma"/>
          <w:sz w:val="18"/>
          <w:szCs w:val="18"/>
          <w:lang w:eastAsia="en-GB"/>
        </w:rPr>
        <w:t xml:space="preserve"> Oscarsson Anders </w:t>
      </w:r>
      <w:hyperlink r:id="rId6" w:history="1">
        <w:r w:rsidRPr="00E066BC">
          <w:rPr>
            <w:rStyle w:val="Hyperlnk"/>
            <w:rFonts w:ascii="Tahoma" w:hAnsi="Tahoma" w:cs="Tahoma"/>
            <w:sz w:val="18"/>
            <w:szCs w:val="18"/>
            <w:lang w:eastAsia="en-GB"/>
          </w:rPr>
          <w:t>[mailto:Anders.Oscarsson@amf.se]</w:t>
        </w:r>
      </w:hyperlink>
      <w:r w:rsidRPr="00E066BC">
        <w:rPr>
          <w:rFonts w:ascii="Tahoma" w:hAnsi="Tahoma" w:cs="Tahoma"/>
          <w:sz w:val="18"/>
          <w:szCs w:val="18"/>
          <w:lang w:eastAsia="en-GB"/>
        </w:rPr>
        <w:t xml:space="preserve"> </w:t>
      </w:r>
      <w:r w:rsidRPr="00E066BC">
        <w:rPr>
          <w:rFonts w:ascii="Tahoma" w:hAnsi="Tahoma" w:cs="Tahoma"/>
          <w:sz w:val="18"/>
          <w:szCs w:val="18"/>
          <w:lang w:eastAsia="en-GB"/>
        </w:rPr>
        <w:br/>
      </w:r>
      <w:r w:rsidRPr="00E066BC">
        <w:rPr>
          <w:rFonts w:ascii="Tahoma" w:hAnsi="Tahoma" w:cs="Tahoma"/>
          <w:b/>
          <w:bCs/>
          <w:sz w:val="18"/>
          <w:szCs w:val="18"/>
          <w:lang w:eastAsia="en-GB"/>
        </w:rPr>
        <w:t>Sent:</w:t>
      </w:r>
      <w:r w:rsidRPr="00E066BC">
        <w:rPr>
          <w:rFonts w:ascii="Tahoma" w:hAnsi="Tahoma" w:cs="Tahoma"/>
          <w:sz w:val="18"/>
          <w:szCs w:val="18"/>
          <w:lang w:eastAsia="en-GB"/>
        </w:rPr>
        <w:t xml:space="preserve"> 27 </w:t>
      </w:r>
      <w:proofErr w:type="gramStart"/>
      <w:r w:rsidRPr="00E066BC">
        <w:rPr>
          <w:rFonts w:ascii="Tahoma" w:hAnsi="Tahoma" w:cs="Tahoma"/>
          <w:sz w:val="18"/>
          <w:szCs w:val="18"/>
          <w:lang w:eastAsia="en-GB"/>
        </w:rPr>
        <w:t>November</w:t>
      </w:r>
      <w:proofErr w:type="gramEnd"/>
      <w:r w:rsidRPr="00E066BC">
        <w:rPr>
          <w:rFonts w:ascii="Tahoma" w:hAnsi="Tahoma" w:cs="Tahoma"/>
          <w:sz w:val="18"/>
          <w:szCs w:val="18"/>
          <w:lang w:eastAsia="en-GB"/>
        </w:rPr>
        <w:t xml:space="preserve"> 2014 11:08</w:t>
      </w:r>
      <w:r w:rsidRPr="00E066BC">
        <w:rPr>
          <w:rFonts w:ascii="Tahoma" w:hAnsi="Tahoma" w:cs="Tahoma"/>
          <w:sz w:val="18"/>
          <w:szCs w:val="18"/>
          <w:lang w:eastAsia="en-GB"/>
        </w:rPr>
        <w:br/>
      </w:r>
      <w:r w:rsidRPr="00E066BC">
        <w:rPr>
          <w:rFonts w:ascii="Tahoma" w:hAnsi="Tahoma" w:cs="Tahoma"/>
          <w:b/>
          <w:bCs/>
          <w:sz w:val="18"/>
          <w:szCs w:val="18"/>
          <w:lang w:eastAsia="en-GB"/>
        </w:rPr>
        <w:t>To:</w:t>
      </w:r>
      <w:r w:rsidRPr="00E066BC">
        <w:rPr>
          <w:rFonts w:ascii="Tahoma" w:hAnsi="Tahoma" w:cs="Tahoma"/>
          <w:sz w:val="18"/>
          <w:szCs w:val="18"/>
          <w:lang w:eastAsia="en-GB"/>
        </w:rPr>
        <w:t xml:space="preserve"> Kristiansson Björn</w:t>
      </w:r>
      <w:r w:rsidRPr="00E066BC">
        <w:rPr>
          <w:rFonts w:ascii="Tahoma" w:hAnsi="Tahoma" w:cs="Tahoma"/>
          <w:sz w:val="18"/>
          <w:szCs w:val="18"/>
          <w:lang w:eastAsia="en-GB"/>
        </w:rPr>
        <w:br/>
      </w:r>
      <w:proofErr w:type="spellStart"/>
      <w:r w:rsidRPr="00E066BC">
        <w:rPr>
          <w:rFonts w:ascii="Tahoma" w:hAnsi="Tahoma" w:cs="Tahoma"/>
          <w:b/>
          <w:bCs/>
          <w:sz w:val="18"/>
          <w:szCs w:val="18"/>
          <w:lang w:eastAsia="en-GB"/>
        </w:rPr>
        <w:t>Subject</w:t>
      </w:r>
      <w:proofErr w:type="spellEnd"/>
      <w:r w:rsidRPr="00E066BC">
        <w:rPr>
          <w:rFonts w:ascii="Tahoma" w:hAnsi="Tahoma" w:cs="Tahoma"/>
          <w:b/>
          <w:bCs/>
          <w:sz w:val="18"/>
          <w:szCs w:val="18"/>
          <w:lang w:eastAsia="en-GB"/>
        </w:rPr>
        <w:t>:</w:t>
      </w:r>
      <w:r w:rsidRPr="00E066BC">
        <w:rPr>
          <w:rFonts w:ascii="Tahoma" w:hAnsi="Tahoma" w:cs="Tahoma"/>
          <w:sz w:val="18"/>
          <w:szCs w:val="18"/>
          <w:lang w:eastAsia="en-GB"/>
        </w:rPr>
        <w:t xml:space="preserve"> Önskat förtydligande ang. Kodens oberoenderegler 4.5</w:t>
      </w:r>
    </w:p>
    <w:p w:rsidR="00893146" w:rsidRDefault="00893146" w:rsidP="00893146">
      <w:r w:rsidRPr="00E066BC">
        <w:t> </w:t>
      </w:r>
    </w:p>
    <w:p w:rsidR="00893146" w:rsidRPr="00E066BC" w:rsidRDefault="00893146" w:rsidP="00893146">
      <w:pPr>
        <w:rPr>
          <w:sz w:val="20"/>
          <w:szCs w:val="20"/>
        </w:rPr>
      </w:pPr>
      <w:r w:rsidRPr="00E066BC">
        <w:rPr>
          <w:sz w:val="20"/>
          <w:szCs w:val="20"/>
        </w:rPr>
        <w:t>Vi, Institutionella ägares förening, vill se ett förtydligande av Kodens oberoenderegler 4.5.  </w:t>
      </w:r>
    </w:p>
    <w:p w:rsidR="00893146" w:rsidRPr="00E066BC" w:rsidRDefault="00893146" w:rsidP="00893146">
      <w:pPr>
        <w:rPr>
          <w:sz w:val="20"/>
          <w:szCs w:val="20"/>
        </w:rPr>
      </w:pPr>
      <w:r w:rsidRPr="00E066BC">
        <w:rPr>
          <w:sz w:val="20"/>
          <w:szCs w:val="20"/>
        </w:rPr>
        <w:t>Dessa regler lämnar i dag öppet för olika tolkningar. Det har t ex förekommit budsituationer då ledamöter som tidigare bedömts som oberoende ändå har jävat ut sig på grund av att det funnits ett beroende till större ägare. Det skulle behövas tydliga exempel i Koden 4.5 liknande de sju punkterna i 4.4 på omständigheter som ska vägas in i bedömningen av ledamots oberoende till större ägare</w:t>
      </w:r>
      <w:r w:rsidRPr="00E066BC">
        <w:rPr>
          <w:color w:val="1F497D"/>
          <w:sz w:val="20"/>
          <w:szCs w:val="20"/>
        </w:rPr>
        <w:t>.</w:t>
      </w:r>
    </w:p>
    <w:p w:rsidR="00893146" w:rsidRPr="00E066BC" w:rsidRDefault="00893146" w:rsidP="00893146">
      <w:pPr>
        <w:rPr>
          <w:sz w:val="20"/>
          <w:szCs w:val="20"/>
        </w:rPr>
      </w:pPr>
      <w:r w:rsidRPr="00E066BC">
        <w:rPr>
          <w:color w:val="1F497D"/>
          <w:sz w:val="20"/>
          <w:szCs w:val="20"/>
        </w:rPr>
        <w:t> </w:t>
      </w:r>
    </w:p>
    <w:p w:rsidR="00893146" w:rsidRPr="00E066BC" w:rsidRDefault="00893146" w:rsidP="00893146">
      <w:pPr>
        <w:spacing w:after="240"/>
        <w:rPr>
          <w:sz w:val="20"/>
          <w:szCs w:val="20"/>
        </w:rPr>
      </w:pPr>
      <w:r w:rsidRPr="00E066BC">
        <w:rPr>
          <w:sz w:val="20"/>
          <w:szCs w:val="20"/>
        </w:rPr>
        <w:t xml:space="preserve">Enligt </w:t>
      </w:r>
      <w:r w:rsidRPr="00E066BC">
        <w:rPr>
          <w:b/>
          <w:bCs/>
          <w:sz w:val="20"/>
          <w:szCs w:val="20"/>
        </w:rPr>
        <w:t>Koden 4.4</w:t>
      </w:r>
      <w:r w:rsidRPr="00E066BC">
        <w:rPr>
          <w:sz w:val="20"/>
          <w:szCs w:val="20"/>
        </w:rPr>
        <w:t xml:space="preserve"> avseende styrelseledamots oberoende i förhållande till bolaget och bolagets ledning sägs</w:t>
      </w:r>
      <w:r w:rsidRPr="00E066BC">
        <w:rPr>
          <w:color w:val="1F497D"/>
          <w:sz w:val="20"/>
          <w:szCs w:val="20"/>
        </w:rPr>
        <w:t>:</w:t>
      </w:r>
    </w:p>
    <w:p w:rsidR="00893146" w:rsidRPr="00E066BC" w:rsidRDefault="00893146" w:rsidP="00893146">
      <w:pPr>
        <w:spacing w:after="240"/>
        <w:rPr>
          <w:sz w:val="20"/>
          <w:szCs w:val="20"/>
        </w:rPr>
      </w:pPr>
      <w:r w:rsidRPr="00E066BC">
        <w:rPr>
          <w:sz w:val="20"/>
          <w:szCs w:val="20"/>
        </w:rPr>
        <w:t>”</w:t>
      </w:r>
      <w:proofErr w:type="gramStart"/>
      <w:r w:rsidRPr="00E066BC">
        <w:rPr>
          <w:sz w:val="20"/>
          <w:szCs w:val="20"/>
        </w:rPr>
        <w:t>…….</w:t>
      </w:r>
      <w:proofErr w:type="gramEnd"/>
      <w:r w:rsidRPr="00E066BC">
        <w:rPr>
          <w:sz w:val="20"/>
          <w:szCs w:val="20"/>
        </w:rPr>
        <w:t>ska en samlad bedömning göras av samtliga omständigheter som kan ge anledning att ifrågasätta ledamotens oberoende</w:t>
      </w:r>
      <w:r>
        <w:rPr>
          <w:sz w:val="20"/>
          <w:szCs w:val="20"/>
        </w:rPr>
        <w:t xml:space="preserve"> i förhållande till bolaget eller bolagsledningen</w:t>
      </w:r>
      <w:r w:rsidRPr="00E066BC">
        <w:rPr>
          <w:sz w:val="20"/>
          <w:szCs w:val="20"/>
        </w:rPr>
        <w:t>, varvid bland annat ett följande omständigheter ska vägas in i bedömningen ”  (därefter listas i sju punkter ett antal omständigheter som ska vägas in i bedömningen).”</w:t>
      </w:r>
      <w:r w:rsidRPr="00E066BC">
        <w:rPr>
          <w:color w:val="1F497D"/>
          <w:sz w:val="20"/>
          <w:szCs w:val="20"/>
        </w:rPr>
        <w:t xml:space="preserve"> </w:t>
      </w:r>
      <w:r w:rsidRPr="00E066BC">
        <w:rPr>
          <w:sz w:val="20"/>
          <w:szCs w:val="20"/>
        </w:rPr>
        <w:t>Vi tycker att denna skrivning och exemplifiering skapar ett bra underlag när bedömning ska göras.  </w:t>
      </w:r>
    </w:p>
    <w:p w:rsidR="00893146" w:rsidRPr="00E066BC" w:rsidRDefault="00893146" w:rsidP="00893146">
      <w:pPr>
        <w:autoSpaceDE w:val="0"/>
        <w:autoSpaceDN w:val="0"/>
        <w:spacing w:after="240"/>
        <w:rPr>
          <w:sz w:val="20"/>
          <w:szCs w:val="20"/>
        </w:rPr>
      </w:pPr>
      <w:r w:rsidRPr="00E066BC">
        <w:rPr>
          <w:sz w:val="20"/>
          <w:szCs w:val="20"/>
        </w:rPr>
        <w:t xml:space="preserve">Enligt </w:t>
      </w:r>
      <w:r w:rsidRPr="00E066BC">
        <w:rPr>
          <w:b/>
          <w:bCs/>
          <w:sz w:val="20"/>
          <w:szCs w:val="20"/>
        </w:rPr>
        <w:t>Koden 4.5</w:t>
      </w:r>
      <w:r w:rsidRPr="00E066BC">
        <w:rPr>
          <w:sz w:val="20"/>
          <w:szCs w:val="20"/>
        </w:rPr>
        <w:t xml:space="preserve"> avseende oberoende till större ägare sägs: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”För att avgöra en ledamots oberoende ska omfattningen av styrelseledamotens direkta och indirekta relationer med den större ägaren vägas in i bedömningen. En styrelseledamot som är anställd eller styrelseledamot i ett företag som är en större ägare ska inte anses vara oberoende.”</w:t>
      </w:r>
      <w:r w:rsidRPr="00E066BC">
        <w:rPr>
          <w:color w:val="1F497D"/>
          <w:sz w:val="20"/>
          <w:szCs w:val="20"/>
        </w:rPr>
        <w:t xml:space="preserve"> 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color w:val="1F497D"/>
          <w:sz w:val="20"/>
          <w:szCs w:val="20"/>
        </w:rPr>
        <w:t> 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Här vore det önskvärt att i 4.5 ge exempel på samma sätt som i 4.4 avseende ett antal omständigheter som ska vägas in i den samlade bedömningen av ledamots oberoende till större ägare (och som måste förklaras om man anser att ledamoten ändå är oberoende enligt 2.6 ). Det kan t ex gälla situationer där en VD/styrelseledamot är styrelseledamot i ett annat bolag där bolagen har samma större aktieägare och/eller samma styrelseordförande (som är beroende) eller andra förhållanden som ur ett aktiemarknadsperspektiv bör beaktas.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 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Med vänlig hälsning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 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 xml:space="preserve">Styrelsen för Institutionella ägares förening, IÄF 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 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 xml:space="preserve">genom 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 </w:t>
      </w:r>
    </w:p>
    <w:p w:rsidR="00893146" w:rsidRPr="00E066BC" w:rsidRDefault="00893146" w:rsidP="00893146">
      <w:pPr>
        <w:autoSpaceDE w:val="0"/>
        <w:autoSpaceDN w:val="0"/>
        <w:rPr>
          <w:sz w:val="20"/>
          <w:szCs w:val="20"/>
        </w:rPr>
      </w:pPr>
      <w:r w:rsidRPr="00E066BC">
        <w:rPr>
          <w:sz w:val="20"/>
          <w:szCs w:val="20"/>
        </w:rPr>
        <w:t>Anders Oscarsson</w:t>
      </w:r>
    </w:p>
    <w:p w:rsidR="00893146" w:rsidRDefault="00893146" w:rsidP="00893146">
      <w:pPr>
        <w:autoSpaceDE w:val="0"/>
        <w:autoSpaceDN w:val="0"/>
      </w:pPr>
      <w:r>
        <w:t> </w:t>
      </w:r>
    </w:p>
    <w:p w:rsidR="00893146" w:rsidRDefault="00893146" w:rsidP="00893146">
      <w:pPr>
        <w:autoSpaceDE w:val="0"/>
        <w:autoSpaceDN w:val="0"/>
      </w:pPr>
      <w:r>
        <w:rPr>
          <w:color w:val="1F497D"/>
        </w:rPr>
        <w:t> </w:t>
      </w:r>
      <w:r>
        <w:t> </w:t>
      </w:r>
    </w:p>
    <w:p w:rsidR="00893146" w:rsidRDefault="00893146" w:rsidP="00893146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4"/>
      </w:tblGrid>
      <w:tr w:rsidR="00893146" w:rsidRPr="00A97ED1" w:rsidTr="00575FD0">
        <w:tc>
          <w:tcPr>
            <w:tcW w:w="7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146" w:rsidRPr="00A97ED1" w:rsidRDefault="00893146" w:rsidP="00A97ED1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Anders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Oscarsson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Head of Equities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AMF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Klara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Södra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Kyrkogata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SE-113 88 Stockholm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Phone +46 8 696 31 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Direct +46 8 696 33 55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Mobile +46 734 22 16 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hyperlink r:id="rId7" w:history="1">
              <w:r>
                <w:rPr>
                  <w:rStyle w:val="Hyperlnk"/>
                  <w:rFonts w:ascii="Arial" w:hAnsi="Arial" w:cs="Arial"/>
                  <w:sz w:val="16"/>
                  <w:szCs w:val="16"/>
                  <w:lang w:val="en-US"/>
                </w:rPr>
                <w:t>anders.oscarsson@amf.se</w:t>
              </w:r>
            </w:hyperlink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hyperlink r:id="rId8" w:history="1">
              <w:r>
                <w:rPr>
                  <w:rStyle w:val="Hyperlnk"/>
                  <w:rFonts w:ascii="Arial" w:hAnsi="Arial" w:cs="Arial"/>
                  <w:color w:val="0064BE"/>
                  <w:sz w:val="16"/>
                  <w:szCs w:val="16"/>
                  <w:lang w:val="en-US"/>
                </w:rPr>
                <w:t>www.amf.se</w:t>
              </w:r>
            </w:hyperlink>
            <w:r>
              <w:rPr>
                <w:rFonts w:ascii="Arial" w:hAnsi="Arial" w:cs="Arial"/>
                <w:sz w:val="6"/>
                <w:szCs w:val="6"/>
                <w:lang w:val="en-US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  <w:lang w:eastAsia="sv-SE"/>
              </w:rPr>
              <w:drawing>
                <wp:inline distT="0" distB="0" distL="0" distR="0" wp14:anchorId="64626127" wp14:editId="2D35FBBF">
                  <wp:extent cx="457200" cy="45720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92C" w:rsidRPr="00A97ED1" w:rsidRDefault="00FF092C">
      <w:pPr>
        <w:rPr>
          <w:lang w:val="en-US"/>
        </w:rPr>
      </w:pPr>
    </w:p>
    <w:sectPr w:rsidR="00FF092C" w:rsidRPr="00A9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46"/>
    <w:rsid w:val="00893146"/>
    <w:rsid w:val="00A97ED1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46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3146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31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46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3146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31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f.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ers.oscarsson@amf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Anders.Oscarsson@amf.se]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jorn.kristiansson@bolagsstyrningskollegiet.se" TargetMode="External"/><Relationship Id="rId10" Type="http://schemas.openxmlformats.org/officeDocument/2006/relationships/image" Target="cid:image001.gif@01D00CED.D3A8C5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AMFPension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Oscarsson Anders</dc:creator>
  <cp:lastModifiedBy>Oscarsson Anders</cp:lastModifiedBy>
  <cp:revision>2</cp:revision>
  <dcterms:created xsi:type="dcterms:W3CDTF">2015-08-31T07:38:00Z</dcterms:created>
  <dcterms:modified xsi:type="dcterms:W3CDTF">2015-08-31T08:01:00Z</dcterms:modified>
</cp:coreProperties>
</file>